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/>
          <w:color w:val="0F1E3C"/>
          <w:sz w:val="28"/>
        </w:rPr>
        <w:t>POLÍTICA DE SEGURIDAD Y SALUD EN EL TRABAJO</w:t>
      </w:r>
    </w:p>
    <w:p>
      <w:pPr>
        <w:spacing w:before="80"/>
      </w:pPr>
      <w:r>
        <w:rPr>
          <w:i/>
          <w:color w:val="555F70"/>
          <w:sz w:val="19"/>
        </w:rPr>
        <w:t>Modelo con los elementos de los artículos 2.2.4.6.5, 2.2.4.6.6 y 2.2.4.6.7 del Decreto 1072 de 2015. ⚠️ Una política copiada no cumple: el numeral 2 del artículo 2.2.4.6.6 exige que sea específica para la empresa y apropiada para la naturaleza de sus peligros y su tamaño. Reemplace todo lo que está entre corchetes y borre esta nota antes de firmar.</w:t>
      </w:r>
    </w:p>
    <w:p>
      <w:r>
        <w:rPr>
          <w:b w:val="0"/>
        </w:rPr>
        <w:t>[RAZÓN SOCIAL], [actividad económica principal], con [número] trabajadores en [número] centros de trabajo, se compromete con la implementación del Sistema de Gestión de la Seguridad y Salud en el Trabajo (SG-SST) para la gestión de los riesgos laborales, y asigna los recursos humanos, técnicos y financieros necesarios para cumplirlo.</w:t>
      </w:r>
    </w:p>
    <w:p>
      <w:r>
        <w:rPr>
          <w:b w:val="0"/>
        </w:rPr>
        <w:t>Esta política forma parte de las políticas de gestión de la empresa y tiene alcance sobre todos sus centros de trabajo y todos sus trabajadores, independiente de su forma de contratación o vinculación, incluidos los contratistas y subcontratistas.</w:t>
      </w:r>
    </w:p>
    <w:p>
      <w:r>
        <w:rPr>
          <w:b w:val="0"/>
        </w:rPr>
        <w:t>Por la naturaleza de nuestra operación, los peligros prioritarios son [nombre los reales de su matriz, por ejemplo: manipulación manual de cargas en bodega, conducción de vehículos, riesgo químico en limpieza, riesgo psicosocial en atención al cliente]. Sobre ellos, la empresa se compromete a:</w:t>
      </w:r>
    </w:p>
    <w:p>
      <w:pPr>
        <w:pStyle w:val="ListBullet"/>
        <w:spacing w:after="80"/>
      </w:pPr>
      <w:r>
        <w:t>Identificar los peligros, evaluar y valorar los riesgos y establecer los respectivos controles.</w:t>
      </w:r>
    </w:p>
    <w:p>
      <w:pPr>
        <w:pStyle w:val="ListBullet"/>
        <w:spacing w:after="80"/>
      </w:pPr>
      <w:r>
        <w:t>Proteger la seguridad y salud de todos los trabajadores, mediante la mejora continua del SG-SST.</w:t>
      </w:r>
    </w:p>
    <w:p>
      <w:pPr>
        <w:pStyle w:val="ListBullet"/>
        <w:spacing w:after="80"/>
      </w:pPr>
      <w:r>
        <w:t>Cumplir la normatividad nacional vigente aplicable en materia de riesgos laborales.</w:t>
      </w:r>
    </w:p>
    <w:p>
      <w:pPr>
        <w:spacing w:before="80"/>
      </w:pPr>
      <w:r>
        <w:rPr>
          <w:i/>
          <w:color w:val="555F70"/>
          <w:sz w:val="19"/>
        </w:rPr>
        <w:t>Los tres compromisos anteriores son los objetivos mínimos del artículo 2.2.4.6.7; puede añadir otros propios de la empresa, pero no quitar ninguno.</w:t>
      </w:r>
    </w:p>
    <w:p>
      <w:r>
        <w:rPr>
          <w:b w:val="0"/>
        </w:rPr>
        <w:t>Esta política se difunde a todos los niveles de la organización, está accesible a los trabajadores y demás partes interesadas en el lugar de trabajo, se comunica al [COPASST / Vigía de SST] y se revisa como mínimo una vez al año.</w:t>
      </w:r>
    </w:p>
    <w:p>
      <w:r>
        <w:rPr>
          <w:b w:val="0"/>
        </w:rPr>
        <w:t>[Ciudad], [día] de [mes] de [año]</w:t>
      </w:r>
    </w:p>
    <w:p/>
    <w:p>
      <w:r>
        <w:rPr>
          <w:b w:val="0"/>
        </w:rPr>
        <w:t>______________________________________________</w:t>
      </w:r>
    </w:p>
    <w:p>
      <w:r>
        <w:rPr>
          <w:b w:val="0"/>
        </w:rPr>
        <w:t>[Nombre del representante legal]</w:t>
        <w:br/>
        <w:t>Representante legal · [RAZÓN SOCIAL]</w:t>
      </w:r>
    </w:p>
    <w:p>
      <w:pPr>
        <w:spacing w:before="280" w:after="120"/>
      </w:pPr>
      <w:r>
        <w:rPr>
          <w:b/>
          <w:color w:val="0F1E3C"/>
          <w:sz w:val="23"/>
        </w:rPr>
        <w:t>Control de revisión anual y comunicación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09"/>
        <w:gridCol w:w="2209"/>
        <w:gridCol w:w="2209"/>
        <w:gridCol w:w="2209"/>
      </w:tblGrid>
      <w:tr>
        <w:tc>
          <w:tcPr>
            <w:tcW w:type="dxa" w:w="2209"/>
          </w:tcPr>
          <w:p>
            <w:r>
              <w:rPr>
                <w:b/>
                <w:sz w:val="18"/>
              </w:rPr>
              <w:t>Fecha de revisión</w:t>
            </w:r>
          </w:p>
        </w:tc>
        <w:tc>
          <w:tcPr>
            <w:tcW w:type="dxa" w:w="2209"/>
          </w:tcPr>
          <w:p>
            <w:r>
              <w:rPr>
                <w:b/>
                <w:sz w:val="18"/>
              </w:rPr>
              <w:t>¿Cambios? (qué cambió)</w:t>
            </w:r>
          </w:p>
        </w:tc>
        <w:tc>
          <w:tcPr>
            <w:tcW w:type="dxa" w:w="2209"/>
          </w:tcPr>
          <w:p>
            <w:r>
              <w:rPr>
                <w:b/>
                <w:sz w:val="18"/>
              </w:rPr>
              <w:t>Comunicada al COPASST o vigía (fecha)</w:t>
            </w:r>
          </w:p>
        </w:tc>
        <w:tc>
          <w:tcPr>
            <w:tcW w:type="dxa" w:w="2209"/>
          </w:tcPr>
          <w:p>
            <w:r>
              <w:rPr>
                <w:b/>
                <w:sz w:val="18"/>
              </w:rPr>
              <w:t>Firma del representante legal</w:t>
            </w:r>
          </w:p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</w:tbl>
    <w:p>
      <w:pPr>
        <w:spacing w:before="80"/>
      </w:pPr>
      <w:r>
        <w:rPr>
          <w:i/>
          <w:color w:val="555F70"/>
          <w:sz w:val="19"/>
        </w:rPr>
        <w:t>Base legal: Decreto 1072 de 2015, artículos 2.2.4.6.5 (política por escrito, alcance y comunicación al COPASST o vigía), 2.2.4.6.6 (requisitos: compromiso; específica y apropiada a los peligros y al tamaño; concisa, fechada y firmada por el representante legal; difundida y accesible; revisada como mínimo una vez al año) y 2.2.4.6.7 (objetivos mínimos). Si cambia el representante legal, conviene firmarla de nuevo: en la verificación de la Resolución 0312 de 2019 se valida que la firme el representante legal actual.</w:t>
      </w:r>
    </w:p>
    <w:sectPr w:rsidR="00FC693F" w:rsidRPr="0006063C" w:rsidSect="00034616">
      <w:footerReference w:type="defaul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55F70"/>
        <w:sz w:val="15"/>
      </w:rPr>
      <w:t>Plantilla de Tagline Soluciones Empresariales · tagline-soluciones.com.co — material informativo de orientación general. No constituye asesoría jurídica, no acredita el cumplimiento de ninguna obligación ante autoridad alguna y su uso no crea relación profesional. Verifique la vigencia de cada norma antes de usarla.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seguridad y salud en el trabajo</dc:title>
  <dc:subject/>
  <dc:creator>Tagline Soluciones Empresariales</dc:creator>
  <cp:keywords/>
  <dc:description>tagline-soluciones.com.co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